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eastAsia="zh-CN"/>
        </w:rPr>
        <w:t>泰州市姜堰区叶甸中心小学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6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32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115"/>
        <w:gridCol w:w="3636"/>
        <w:gridCol w:w="587"/>
        <w:gridCol w:w="943"/>
        <w:gridCol w:w="1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1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00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2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51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5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2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1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00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艺术社团活动课程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2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snapToGrid w:val="0"/>
              <w:jc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28</w:t>
            </w:r>
          </w:p>
        </w:tc>
        <w:tc>
          <w:tcPr>
            <w:tcW w:w="51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缺乏利用当地的教育资源开发具有地域特色的艺术课程。</w:t>
            </w:r>
          </w:p>
        </w:tc>
        <w:tc>
          <w:tcPr>
            <w:tcW w:w="5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今后会结合当地的艺术教育资源，逐步开设并形成学校的艺术校本课程。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1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00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合唱 、素描、版画、书法、儿童画、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剪纸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2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18</w:t>
            </w:r>
          </w:p>
        </w:tc>
        <w:tc>
          <w:tcPr>
            <w:tcW w:w="51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艺术活动项目还不够丰富，各种艺术社团的质量仍有待进一步提高。</w:t>
            </w:r>
          </w:p>
        </w:tc>
        <w:tc>
          <w:tcPr>
            <w:tcW w:w="5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今后会多开展可以展示学生艺术才能的活动，提高艺术社团的活动质量，以更多形式来丰富校园艺术文化。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1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00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52:1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2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51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兼职艺术教师素质有待提高。</w:t>
            </w:r>
          </w:p>
        </w:tc>
        <w:tc>
          <w:tcPr>
            <w:tcW w:w="5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_GB2312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注重发展教师的一专多能，加强兼职教师的艺术培训力度，提高教师素质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1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00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420" w:leftChars="200" w:firstLine="210" w:firstLineChars="1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2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1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2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16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00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积极参加艺术类竞赛活动，部分学生参加区级以上艺术单项竞赛与各级绘画比赛获奖，锻炼了学生的能力，提高了艺术素养。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2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 xml:space="preserve">  </w:t>
            </w:r>
            <w:r>
              <w:rPr>
                <w:rFonts w:ascii="仿宋_GB2312" w:hAnsi="宋体" w:eastAsia="仿宋_GB2312"/>
                <w:sz w:val="21"/>
                <w:szCs w:val="21"/>
              </w:rPr>
              <w:t>7</w:t>
            </w:r>
          </w:p>
        </w:tc>
        <w:tc>
          <w:tcPr>
            <w:tcW w:w="51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缺乏挖掘当地的优秀民间传统艺术文化资源，学校艺术教育发展特色不明显。</w:t>
            </w:r>
          </w:p>
        </w:tc>
        <w:tc>
          <w:tcPr>
            <w:tcW w:w="5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今后会充分挖掘并结合当地的民间传统文化艺术，聘请当地的民间艺人走进学校进行讲学，并积极与社会艺术团体建立合作关系。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16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00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152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91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2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 xml:space="preserve"> </w:t>
            </w:r>
            <w:r>
              <w:rPr>
                <w:rFonts w:ascii="仿宋_GB2312" w:hAnsi="宋体" w:eastAsia="仿宋_GB2312"/>
                <w:sz w:val="21"/>
                <w:szCs w:val="21"/>
              </w:rPr>
              <w:t>4</w:t>
            </w:r>
          </w:p>
        </w:tc>
        <w:tc>
          <w:tcPr>
            <w:tcW w:w="51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学生艺术素质测评优秀率比例不太高，需要进一步提高。</w:t>
            </w:r>
          </w:p>
        </w:tc>
        <w:tc>
          <w:tcPr>
            <w:tcW w:w="5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更加重视对学生的艺术教育，提高每一位学生的艺术素养。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78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95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填报人： </w:t>
      </w:r>
      <w:r>
        <w:rPr>
          <w:rFonts w:hint="eastAsia" w:ascii="仿宋" w:hAnsi="仿宋" w:eastAsia="仿宋" w:cs="仿宋"/>
          <w:sz w:val="24"/>
          <w:lang w:eastAsia="zh-CN"/>
        </w:rPr>
        <w:t>李维忠</w:t>
      </w:r>
      <w:r>
        <w:rPr>
          <w:rFonts w:hint="eastAsia" w:ascii="仿宋" w:hAnsi="仿宋" w:eastAsia="仿宋" w:cs="仿宋"/>
          <w:sz w:val="24"/>
        </w:rPr>
        <w:t xml:space="preserve"> 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13921700623</w:t>
      </w:r>
      <w:r>
        <w:rPr>
          <w:rFonts w:hint="eastAsia" w:ascii="仿宋" w:hAnsi="仿宋" w:eastAsia="仿宋" w:cs="仿宋"/>
          <w:sz w:val="24"/>
        </w:rPr>
        <w:t xml:space="preserve">  填报日期：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 年 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月 </w:t>
      </w:r>
      <w:r>
        <w:rPr>
          <w:rFonts w:hint="eastAsia" w:ascii="仿宋" w:hAnsi="仿宋" w:eastAsia="仿宋" w:cs="仿宋"/>
          <w:sz w:val="24"/>
          <w:lang w:val="en-US" w:eastAsia="zh-CN"/>
        </w:rPr>
        <w:t>16</w:t>
      </w:r>
      <w:r>
        <w:rPr>
          <w:rFonts w:hint="eastAsia" w:ascii="仿宋" w:hAnsi="仿宋" w:eastAsia="仿宋" w:cs="仿宋"/>
          <w:sz w:val="24"/>
        </w:rPr>
        <w:t xml:space="preserve">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wZmQ5YjNlZDk0YmY4MjA4YzlkNjgyZjZhODQ1ODMifQ=="/>
  </w:docVars>
  <w:rsids>
    <w:rsidRoot w:val="46325C58"/>
    <w:rsid w:val="1C206E75"/>
    <w:rsid w:val="38C70290"/>
    <w:rsid w:val="3AD06A5A"/>
    <w:rsid w:val="3AE8410B"/>
    <w:rsid w:val="46325C58"/>
    <w:rsid w:val="4C9E7102"/>
    <w:rsid w:val="4EC015B1"/>
    <w:rsid w:val="50BB3403"/>
    <w:rsid w:val="5A9A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抱树健走的泥泥酱╮(╯▽╰)╭Me∪</cp:lastModifiedBy>
  <dcterms:modified xsi:type="dcterms:W3CDTF">2023-11-16T01:15:42Z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1857A147DDEF41E8B2DB70F40989F0A1</vt:lpwstr>
  </property>
</Properties>
</file>