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napToGrid w:val="false"/>
        <w:spacing w:lineRule="exact" w:line="560"/>
        <w:rPr>
          <w:rFonts w:ascii="宋体" w:eastAsia="华文仿宋" w:hAnsi="宋体" w:hint="eastAsia"/>
          <w:b/>
          <w:bCs/>
          <w:sz w:val="28"/>
          <w:lang w:eastAsia="zh-CN"/>
        </w:rPr>
      </w:pPr>
      <w:r>
        <w:rPr>
          <w:rFonts w:ascii="宋体" w:eastAsia="华文仿宋" w:hAnsi="宋体" w:hint="eastAsia"/>
          <w:b/>
          <w:bCs/>
          <w:sz w:val="28"/>
          <w:lang w:eastAsia="zh-CN"/>
        </w:rPr>
        <w:t>附件：</w:t>
      </w:r>
    </w:p>
    <w:p>
      <w:pPr>
        <w:pStyle w:val="style0"/>
        <w:snapToGrid w:val="false"/>
        <w:spacing w:lineRule="exact" w:line="560"/>
        <w:rPr>
          <w:rFonts w:ascii="宋体" w:eastAsia="华文仿宋" w:hAnsi="宋体" w:hint="eastAsia"/>
          <w:b/>
          <w:bCs/>
          <w:sz w:val="28"/>
        </w:rPr>
      </w:pPr>
      <w:r>
        <w:rPr>
          <w:rFonts w:ascii="宋体" w:eastAsia="华文仿宋" w:hAnsi="宋体" w:hint="eastAsia"/>
          <w:b w:val="false"/>
          <w:bCs w:val="false"/>
          <w:sz w:val="28"/>
        </w:rPr>
        <w:t>学校：</w:t>
      </w:r>
      <w:r>
        <w:rPr>
          <w:rFonts w:ascii="宋体" w:eastAsia="华文仿宋" w:hAnsi="宋体"/>
          <w:b w:val="false"/>
          <w:bCs w:val="false"/>
          <w:sz w:val="28"/>
          <w:u w:val="single"/>
        </w:rPr>
        <w:t xml:space="preserve">   </w:t>
      </w:r>
      <w:r>
        <w:rPr>
          <w:rFonts w:ascii="宋体" w:eastAsia="华文仿宋" w:hAnsi="宋体"/>
          <w:b w:val="false"/>
          <w:bCs w:val="false"/>
          <w:sz w:val="28"/>
          <w:u w:val="single"/>
          <w:lang w:val="en-US"/>
        </w:rPr>
        <w:t>泰州市姜堰区第四中学</w:t>
      </w:r>
      <w:r>
        <w:rPr>
          <w:rFonts w:ascii="宋体" w:hAnsi="宋体"/>
          <w:b w:val="false"/>
          <w:bCs w:val="false"/>
          <w:sz w:val="28"/>
          <w:u w:val="single"/>
          <w:lang w:val="en-US"/>
        </w:rPr>
        <w:t>教育集团四中校区</w:t>
      </w:r>
      <w:r>
        <w:rPr>
          <w:rFonts w:ascii="宋体" w:eastAsia="华文仿宋" w:hAnsi="宋体"/>
          <w:b w:val="false"/>
          <w:bCs w:val="false"/>
          <w:sz w:val="28"/>
          <w:u w:val="single"/>
        </w:rPr>
        <w:t xml:space="preserve">  </w:t>
      </w:r>
      <w:r>
        <w:rPr>
          <w:rFonts w:ascii="宋体" w:eastAsia="华文仿宋" w:hAnsi="宋体" w:hint="eastAsia"/>
          <w:b w:val="false"/>
          <w:bCs w:val="false"/>
          <w:sz w:val="28"/>
          <w:u w:val="single"/>
        </w:rPr>
        <w:t xml:space="preserve">      </w:t>
      </w:r>
      <w:r>
        <w:rPr>
          <w:rFonts w:ascii="宋体" w:eastAsia="华文仿宋" w:hAnsi="宋体"/>
          <w:b w:val="false"/>
          <w:bCs w:val="false"/>
          <w:sz w:val="28"/>
          <w:u w:val="single"/>
        </w:rPr>
        <w:t xml:space="preserve">      </w:t>
      </w:r>
      <w:r>
        <w:rPr>
          <w:rFonts w:ascii="宋体" w:eastAsia="华文仿宋" w:hAnsi="宋体" w:hint="eastAsia"/>
          <w:b w:val="false"/>
          <w:bCs w:val="false"/>
          <w:sz w:val="28"/>
        </w:rPr>
        <w:t xml:space="preserve">  </w:t>
      </w:r>
      <w:r>
        <w:rPr>
          <w:rFonts w:ascii="宋体" w:eastAsia="华文仿宋" w:hAnsi="宋体" w:hint="eastAsia"/>
          <w:b/>
          <w:bCs/>
          <w:sz w:val="28"/>
        </w:rPr>
        <w:t xml:space="preserve">             </w:t>
      </w:r>
    </w:p>
    <w:p>
      <w:pPr>
        <w:pStyle w:val="style0"/>
        <w:snapToGrid w:val="false"/>
        <w:spacing w:lineRule="exact" w:line="560"/>
        <w:rPr>
          <w:rFonts w:ascii="宋体" w:eastAsia="华文仿宋" w:hAnsi="宋体" w:hint="eastAsia"/>
          <w:sz w:val="28"/>
          <w:szCs w:val="24"/>
        </w:rPr>
      </w:pPr>
      <w:r>
        <w:rPr>
          <w:rFonts w:ascii="宋体" w:eastAsia="华文仿宋" w:hAnsi="宋体" w:hint="eastAsia"/>
          <w:sz w:val="28"/>
          <w:szCs w:val="24"/>
        </w:rPr>
        <w:t>教学班级汇总：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/>
          <w:sz w:val="28"/>
          <w:szCs w:val="24"/>
          <w:u w:val="single"/>
          <w:lang w:val="en-US"/>
        </w:rPr>
        <w:t>41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个；艺术专任教师汇总：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/>
          <w:sz w:val="28"/>
          <w:szCs w:val="24"/>
          <w:u w:val="single"/>
          <w:lang w:val="en-US"/>
        </w:rPr>
        <w:t>7</w:t>
      </w:r>
      <w:r>
        <w:rPr>
          <w:rFonts w:ascii="宋体" w:eastAsia="华文仿宋" w:hAnsi="宋体"/>
          <w:sz w:val="28"/>
          <w:szCs w:val="24"/>
          <w:u w:val="single"/>
        </w:rPr>
        <w:t xml:space="preserve">    </w:t>
      </w:r>
      <w:r>
        <w:rPr>
          <w:rFonts w:ascii="宋体" w:eastAsia="华文仿宋" w:hAnsi="宋体" w:hint="eastAsia"/>
          <w:sz w:val="28"/>
          <w:szCs w:val="24"/>
        </w:rPr>
        <w:t>人，其中音乐：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default"/>
          <w:sz w:val="28"/>
          <w:szCs w:val="24"/>
          <w:u w:val="single"/>
          <w:lang w:val="en-US"/>
        </w:rPr>
        <w:t>4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人，美术：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default"/>
          <w:sz w:val="28"/>
          <w:szCs w:val="24"/>
          <w:u w:val="single"/>
          <w:lang w:val="en-US"/>
        </w:rPr>
        <w:t>3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人；艺术兼职教师汇总：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/>
          <w:sz w:val="28"/>
          <w:szCs w:val="24"/>
          <w:u w:val="single"/>
          <w:lang w:val="en-US"/>
        </w:rPr>
        <w:t>3</w:t>
      </w:r>
      <w:r>
        <w:rPr>
          <w:rFonts w:ascii="宋体" w:eastAsia="华文仿宋" w:hAnsi="宋体"/>
          <w:sz w:val="28"/>
          <w:szCs w:val="24"/>
          <w:u w:val="single"/>
        </w:rPr>
        <w:t xml:space="preserve">   </w:t>
      </w:r>
      <w:r>
        <w:rPr>
          <w:rFonts w:ascii="宋体" w:eastAsia="华文仿宋" w:hAnsi="宋体" w:hint="eastAsia"/>
          <w:sz w:val="28"/>
          <w:szCs w:val="24"/>
        </w:rPr>
        <w:t>人。</w:t>
      </w:r>
    </w:p>
    <w:p>
      <w:pPr>
        <w:pStyle w:val="style0"/>
        <w:snapToGrid w:val="false"/>
        <w:spacing w:lineRule="exact" w:line="540"/>
        <w:rPr>
          <w:rFonts w:ascii="宋体" w:eastAsia="华文仿宋" w:hAnsi="宋体" w:hint="eastAsia"/>
          <w:sz w:val="28"/>
          <w:szCs w:val="24"/>
        </w:rPr>
      </w:pPr>
    </w:p>
    <w:tbl>
      <w:tblPr>
        <w:tblStyle w:val="style105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rPr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自评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存在的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Cs w:val="21"/>
              </w:rPr>
            </w:pPr>
            <w:r>
              <w:rPr>
                <w:rFonts w:ascii="仿宋" w:cs="仿宋" w:eastAsia="仿宋" w:hAnsi="仿宋" w:hint="eastAsia"/>
                <w:b/>
                <w:szCs w:val="21"/>
              </w:rPr>
              <w:t>改进措施</w:t>
            </w:r>
          </w:p>
        </w:tc>
      </w:tr>
      <w:tr>
        <w:tblPrEx/>
        <w:trPr>
          <w:trHeight w:val="90" w:hRule="atLeast"/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艺术课程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小学：音乐：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美术：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综合艺术：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地方/学校艺术课程：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课时/周，列出课程名称：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初中：音乐：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41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美术：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41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综合艺术：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地方/学校艺术课程：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课时/周，列出课程名称：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合唱、舞蹈、绒花、书法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                  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高中：音乐：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美术：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综合艺术：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地方/学校艺术课程：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课时/周，列出课程名称：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2340"/>
              </w:tabs>
              <w:snapToGrid w:val="false"/>
              <w:rPr>
                <w:rFonts w:ascii="仿宋" w:cs="仿宋" w:eastAsia="仿宋" w:hAnsi="仿宋" w:hint="default"/>
                <w:color w:val="000000"/>
                <w:sz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2340"/>
              </w:tabs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2340"/>
              </w:tabs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</w:tr>
      <w:tr>
        <w:tblPrEx/>
        <w:trPr>
          <w:trHeight w:val="90" w:hRule="atLeast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艺术活动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小学:学校开展艺术活动频次：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次/周；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校级学生艺术社团数量：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个（平均数量：全市小学校级学生艺术社团总数除以小学数量）；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校级学生兴趣小组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个（平均：解释如上）；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                  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艺术活动学生参与率：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%（参与艺术活动学生总数占学校学生总数比例）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初中:学校开展艺术活动频次：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1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eastAsia"/>
                <w:szCs w:val="21"/>
              </w:rPr>
              <w:t>次/周；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校级学生艺术社团数量：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</w:t>
            </w:r>
            <w:r>
              <w:rPr>
                <w:rFonts w:ascii="仿宋" w:cs="仿宋" w:eastAsia="仿宋" w:hAnsi="仿宋" w:hint="eastAsia"/>
                <w:szCs w:val="21"/>
              </w:rPr>
              <w:t>个（平均数量：全市初中校级学生艺术社团总数除以初中数量）；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校级学生兴趣小组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 xml:space="preserve"> （平均：解释如上）；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合唱、舞蹈、美术、书法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                 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艺术活动学生参与率：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85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cs="仿宋" w:eastAsia="仿宋" w:hAnsi="仿宋" w:hint="eastAsia"/>
                <w:szCs w:val="21"/>
              </w:rPr>
              <w:t xml:space="preserve"> %（参与艺术活动学生总数占学校学生总数比例）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高中:学校开展艺术活动频次：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次/周；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校级学生艺术社团数量：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个（平均数量：全市高中校级学生艺术社团总数除以高中数量）；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校级学生兴趣小组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个（平均：解释如上）；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                              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艺术活动学生参与率：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default"/>
                <w:sz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</w:p>
        </w:tc>
      </w:tr>
      <w:tr>
        <w:tblPrEx/>
        <w:trPr>
          <w:trHeight w:val="1055" w:hRule="atLeast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艺术教师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 xml:space="preserve">小学：艺术教师总数： 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 xml:space="preserve"> 人，其中专职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人、兼职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人。其中：音乐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包括兼职教师在内的艺术教师生师比：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（平均数）（教师总数与学生总数的比值）；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艺术教师缺额数：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人（总计），其中音乐：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本学年艺术教师参加县级以上培训人数：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人，其中专职教师：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人、兼职：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</w:t>
            </w:r>
          </w:p>
          <w:p>
            <w:pPr>
              <w:pStyle w:val="style0"/>
              <w:snapToGrid w:val="false"/>
              <w:ind w:left="210" w:hanging="210" w:hangingChars="100"/>
              <w:rPr>
                <w:rFonts w:ascii="仿宋" w:cs="仿宋" w:eastAsia="仿宋" w:hAnsi="仿宋" w:hint="eastAsia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初中：艺术教师总数：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10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人，其中专职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7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人、兼职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3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人。其中：音乐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5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人、美术</w:t>
            </w:r>
            <w:r>
              <w:rPr>
                <w:rFonts w:ascii="仿宋" w:cs="仿宋" w:eastAsia="仿宋" w:hAnsi="仿宋" w:hint="default"/>
                <w:szCs w:val="21"/>
                <w:lang w:val="en-US"/>
              </w:rPr>
              <w:t>5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人；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包括兼职教师在内的艺术教师生师比：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（平均数）（教师总数与学生总数的比值）；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艺术教师缺额数：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人（总计），其中音乐：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本学年艺术教师参加县级以上培训人数：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7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人，其中专职教师：</w:t>
            </w:r>
            <w:r>
              <w:rPr>
                <w:rFonts w:ascii="仿宋" w:cs="仿宋" w:eastAsia="仿宋" w:hAnsi="仿宋" w:hint="default"/>
                <w:szCs w:val="21"/>
                <w:lang w:val="en-US"/>
              </w:rPr>
              <w:t>5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人、兼职：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2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cs="仿宋" w:eastAsia="仿宋" w:hAnsi="仿宋" w:hint="eastAsia"/>
                <w:szCs w:val="21"/>
              </w:rPr>
              <w:t>人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高中：艺术教师总数：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人，其中专职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人、兼职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人。其中：音乐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人；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包括兼职教师在内的艺术教师生师比：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（平均数）（教师总数与学生总数的比值）；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艺术教师缺额数：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人（总计），其中音乐：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人；</w:t>
            </w:r>
          </w:p>
          <w:p>
            <w:pPr>
              <w:pStyle w:val="style0"/>
              <w:snapToGrid w:val="false"/>
              <w:ind w:left="718" w:leftChars="342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本学年艺术教师参加县级以上培训人数：</w:t>
            </w:r>
          </w:p>
          <w:p>
            <w:pPr>
              <w:pStyle w:val="style0"/>
              <w:snapToGrid w:val="false"/>
              <w:ind w:left="630" w:left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人，其中专职教师：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人、兼职：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rPr>
                <w:rFonts w:ascii="仿宋" w:cs="仿宋" w:eastAsia="仿宋" w:hAnsi="仿宋" w:hint="default"/>
                <w:color w:val="000000"/>
                <w:sz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</w:tr>
      <w:tr>
        <w:tblPrEx/>
        <w:trPr>
          <w:trHeight w:val="546" w:hRule="atLeast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条件保障</w:t>
            </w:r>
          </w:p>
          <w:p>
            <w:pPr>
              <w:pStyle w:val="style0"/>
              <w:widowControl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小学：艺术专用教室/活动室：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szCs w:val="21"/>
              </w:rPr>
              <w:t>个；</w:t>
            </w:r>
          </w:p>
          <w:p>
            <w:pPr>
              <w:pStyle w:val="style0"/>
              <w:snapToGrid w:val="false"/>
              <w:ind w:left="630" w:left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其中：音乐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艺术场馆：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szCs w:val="21"/>
              </w:rPr>
              <w:t>个；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已按照国家标准配备艺术课程教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学和艺术活动器材学校的比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例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szCs w:val="21"/>
              </w:rPr>
              <w:t>％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初中：艺术专用教室/活动室：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4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个；</w:t>
            </w:r>
          </w:p>
          <w:p>
            <w:pPr>
              <w:pStyle w:val="style0"/>
              <w:snapToGrid w:val="false"/>
              <w:ind w:left="630" w:left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其中：音乐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2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个、美术</w:t>
            </w:r>
            <w:r>
              <w:rPr>
                <w:rFonts w:ascii="仿宋" w:cs="仿宋" w:eastAsia="仿宋" w:hAnsi="仿宋" w:hint="default"/>
                <w:szCs w:val="21"/>
                <w:lang w:val="en-US"/>
              </w:rPr>
              <w:t>1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szCs w:val="21"/>
                <w:u w:val="single"/>
                <w:lang w:val="en-US"/>
              </w:rPr>
              <w:t>1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szCs w:val="21"/>
              </w:rPr>
              <w:t>个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艺术场馆：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szCs w:val="21"/>
              </w:rPr>
              <w:t>个；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已按照国家标准配备艺术课程教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学和艺术活动器材学校的比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例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</w:t>
            </w:r>
            <w:r>
              <w:rPr>
                <w:rFonts w:ascii="仿宋" w:cs="仿宋" w:eastAsia="仿宋" w:hAnsi="仿宋" w:hint="eastAsia"/>
                <w:szCs w:val="21"/>
              </w:rPr>
              <w:t>％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高中：艺术专用教室/活动室：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szCs w:val="21"/>
              </w:rPr>
              <w:t>个；</w:t>
            </w:r>
          </w:p>
          <w:p>
            <w:pPr>
              <w:pStyle w:val="style0"/>
              <w:snapToGrid w:val="false"/>
              <w:ind w:left="630" w:left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其中：音乐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个、美术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个、其他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Cs w:val="21"/>
              </w:rPr>
              <w:t>个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艺术场馆：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szCs w:val="21"/>
              </w:rPr>
              <w:t>个；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已按照国家标准配备艺术课程教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szCs w:val="21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学和艺术活动器材学校的比</w:t>
            </w:r>
          </w:p>
          <w:p>
            <w:pPr>
              <w:pStyle w:val="style0"/>
              <w:snapToGrid w:val="false"/>
              <w:ind w:firstLine="630" w:firstLineChars="300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szCs w:val="21"/>
              </w:rPr>
              <w:t>例</w:t>
            </w:r>
            <w:r>
              <w:rPr>
                <w:rFonts w:ascii="仿宋" w:cs="仿宋" w:eastAsia="仿宋" w:hAnsi="仿宋" w:hint="eastAsia"/>
                <w:szCs w:val="21"/>
                <w:u w:val="single"/>
              </w:rPr>
              <w:t xml:space="preserve">       </w:t>
            </w:r>
            <w:r>
              <w:rPr>
                <w:rFonts w:ascii="仿宋" w:cs="仿宋" w:eastAsia="仿宋" w:hAnsi="仿宋" w:hint="eastAsia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default"/>
                <w:color w:val="000000"/>
                <w:sz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</w:tr>
      <w:tr>
        <w:tblPrEx/>
        <w:trPr>
          <w:trHeight w:val="2881" w:hRule="atLeast"/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特色发展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</w:rPr>
            </w:pP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合唱社团、版画社团以及绒花社团均荣获泰州市“一校一品一特色”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特色项目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</w:rPr>
            </w:pP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default"/>
                <w:color w:val="000000"/>
                <w:sz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学生艺术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素质测评</w:t>
            </w:r>
          </w:p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spacing w:val="-12"/>
                <w:sz w:val="24"/>
              </w:rPr>
            </w:pPr>
            <w:r>
              <w:rPr>
                <w:rFonts w:ascii="仿宋" w:cs="仿宋" w:eastAsia="仿宋" w:hAnsi="仿宋" w:hint="eastAsia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%（平均数）；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%；良好：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%；合格：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人，比例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%；不合格：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</w:t>
            </w:r>
          </w:p>
          <w:p>
            <w:pPr>
              <w:pStyle w:val="style0"/>
              <w:snapToGrid w:val="false"/>
              <w:ind w:left="580" w:hanging="579" w:hangingChars="276"/>
              <w:rPr>
                <w:rFonts w:ascii="仿宋" w:cs="仿宋" w:eastAsia="仿宋" w:hAnsi="仿宋" w:hint="eastAsia"/>
                <w:color w:val="000000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ascii="仿宋" w:cs="仿宋" w:eastAsia="仿宋" w:hAnsi="仿宋" w:hint="default"/>
                <w:color w:val="000000"/>
                <w:szCs w:val="21"/>
                <w:lang w:val="en-US"/>
              </w:rPr>
              <w:t>2132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100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%（平均数）；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1968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92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%；良好：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94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5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%；合格：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70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人，比例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3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%；不合格：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0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cs="仿宋" w:eastAsia="仿宋" w:hAnsi="仿宋" w:hint="default"/>
                <w:color w:val="000000"/>
                <w:szCs w:val="21"/>
                <w:u w:val="single"/>
                <w:lang w:val="en-US"/>
              </w:rPr>
              <w:t>0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</w:t>
            </w:r>
          </w:p>
          <w:p>
            <w:pPr>
              <w:pStyle w:val="style0"/>
              <w:snapToGrid w:val="false"/>
              <w:ind w:left="580" w:hanging="579" w:hangingChars="276"/>
              <w:rPr>
                <w:rFonts w:ascii="仿宋" w:cs="仿宋" w:eastAsia="仿宋" w:hAnsi="仿宋" w:hint="eastAsia"/>
                <w:color w:val="000000"/>
                <w:szCs w:val="21"/>
              </w:rPr>
            </w:pP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%（平均数）；</w:t>
            </w:r>
          </w:p>
          <w:p>
            <w:pPr>
              <w:pStyle w:val="style0"/>
              <w:snapToGrid w:val="false"/>
              <w:ind w:left="630" w:hanging="630" w:hangingChars="300"/>
              <w:rPr>
                <w:rFonts w:ascii="仿宋" w:cs="仿宋" w:eastAsia="仿宋" w:hAnsi="仿宋" w:hint="eastAsia"/>
                <w:color w:val="00000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%；良好：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%；合格：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人，比例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%；不合格：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cs="仿宋" w:eastAsia="仿宋" w:hAnsi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default"/>
                <w:color w:val="000000"/>
                <w:sz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rPr>
                <w:rFonts w:ascii="仿宋" w:cs="仿宋" w:eastAsia="仿宋" w:hAnsi="仿宋" w:hint="eastAsia"/>
                <w:color w:val="000000"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jc w:val="center"/>
              <w:rPr>
                <w:rFonts w:ascii="仿宋" w:cs="仿宋" w:eastAsia="仿宋" w:hAnsi="仿宋" w:hint="eastAsia"/>
                <w:b/>
                <w:sz w:val="24"/>
              </w:rPr>
            </w:pPr>
            <w:r>
              <w:rPr>
                <w:rFonts w:ascii="仿宋" w:cs="仿宋" w:eastAsia="仿宋" w:hAnsi="仿宋" w:hint="eastAsia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仿宋" w:cs="仿宋" w:eastAsia="仿宋" w:hAnsi="仿宋" w:hint="eastAsia"/>
                <w:sz w:val="24"/>
                <w:u w:val="single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总分</w:t>
            </w:r>
            <w:r>
              <w:rPr>
                <w:rFonts w:ascii="仿宋" w:cs="仿宋" w:eastAsia="仿宋" w:hAnsi="仿宋" w:hint="eastAsia"/>
                <w:sz w:val="24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 w:val="24"/>
                <w:u w:val="single"/>
                <w:lang w:val="en-US" w:eastAsia="zh-CN"/>
              </w:rPr>
              <w:t>100</w:t>
            </w:r>
            <w:r>
              <w:rPr>
                <w:rFonts w:ascii="仿宋" w:cs="仿宋" w:eastAsia="仿宋" w:hAnsi="仿宋" w:hint="eastAsia"/>
                <w:sz w:val="24"/>
                <w:u w:val="single"/>
              </w:rPr>
              <w:t xml:space="preserve">    </w:t>
            </w:r>
            <w:r>
              <w:rPr>
                <w:rFonts w:ascii="仿宋" w:cs="仿宋" w:eastAsia="仿宋" w:hAnsi="仿宋" w:hint="eastAsia"/>
                <w:sz w:val="24"/>
              </w:rPr>
              <w:t>；等级</w:t>
            </w:r>
            <w:r>
              <w:rPr>
                <w:rFonts w:ascii="仿宋" w:cs="仿宋" w:eastAsia="仿宋" w:hAnsi="仿宋" w:hint="eastAsia"/>
                <w:sz w:val="24"/>
                <w:u w:val="single"/>
              </w:rPr>
              <w:t xml:space="preserve">      </w:t>
            </w:r>
            <w:r>
              <w:rPr>
                <w:rFonts w:ascii="仿宋" w:cs="仿宋" w:eastAsia="仿宋" w:hAnsi="仿宋" w:hint="eastAsia"/>
                <w:sz w:val="24"/>
                <w:u w:val="single"/>
                <w:lang w:val="en-US" w:eastAsia="zh-CN"/>
              </w:rPr>
              <w:t>优秀</w:t>
            </w:r>
            <w:r>
              <w:rPr>
                <w:rFonts w:ascii="仿宋" w:cs="仿宋" w:eastAsia="仿宋" w:hAnsi="仿宋" w:hint="eastAsia"/>
                <w:sz w:val="24"/>
                <w:u w:val="single"/>
              </w:rPr>
              <w:t xml:space="preserve">      </w:t>
            </w:r>
          </w:p>
          <w:p>
            <w:pPr>
              <w:pStyle w:val="style0"/>
              <w:widowControl/>
              <w:jc w:val="left"/>
              <w:rPr>
                <w:rFonts w:ascii="仿宋" w:cs="仿宋" w:eastAsia="仿宋" w:hAnsi="仿宋" w:hint="eastAsia"/>
                <w:color w:val="000000"/>
                <w:kern w:val="0"/>
                <w:sz w:val="24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 w:val="24"/>
              </w:rPr>
              <w:t>（备注：90分以上为优秀，75-89分为良好，60-74分为合格，60分以下为不合格。）</w:t>
            </w:r>
          </w:p>
        </w:tc>
      </w:tr>
    </w:tbl>
    <w:p>
      <w:pPr>
        <w:pStyle w:val="style0"/>
        <w:snapToGrid w:val="false"/>
        <w:spacing w:lineRule="exact" w:line="560"/>
        <w:rPr>
          <w:rFonts w:ascii="宋体" w:cs="宋体" w:hAnsi="宋体" w:hint="eastAsia"/>
          <w:sz w:val="24"/>
        </w:rPr>
      </w:pPr>
    </w:p>
    <w:p>
      <w:pPr>
        <w:pStyle w:val="style0"/>
        <w:snapToGrid w:val="false"/>
        <w:spacing w:lineRule="exact" w:line="560"/>
        <w:rPr>
          <w:rFonts w:ascii="仿宋" w:cs="仿宋" w:eastAsia="仿宋" w:hAnsi="仿宋" w:hint="eastAsia"/>
          <w:sz w:val="24"/>
        </w:rPr>
      </w:pPr>
      <w:r>
        <w:rPr>
          <w:rFonts w:ascii="仿宋" w:cs="仿宋" w:eastAsia="仿宋" w:hAnsi="仿宋" w:hint="eastAsia"/>
          <w:sz w:val="24"/>
        </w:rPr>
        <w:t>填报人：</w:t>
      </w:r>
      <w:r>
        <w:rPr>
          <w:rFonts w:ascii="仿宋" w:cs="仿宋" w:eastAsia="仿宋" w:hAnsi="仿宋" w:hint="eastAsia"/>
          <w:sz w:val="24"/>
          <w:lang w:val="en-US" w:eastAsia="zh-CN"/>
        </w:rPr>
        <w:t>钱志华</w:t>
      </w:r>
      <w:r>
        <w:rPr>
          <w:rFonts w:ascii="仿宋" w:cs="仿宋" w:eastAsia="仿宋" w:hAnsi="仿宋" w:hint="eastAsia"/>
          <w:sz w:val="24"/>
        </w:rPr>
        <w:t xml:space="preserve"> 联系电话：</w:t>
      </w:r>
      <w:r>
        <w:rPr>
          <w:rFonts w:ascii="仿宋" w:cs="仿宋" w:eastAsia="仿宋" w:hAnsi="仿宋" w:hint="eastAsia"/>
          <w:sz w:val="24"/>
          <w:lang w:val="en-US" w:eastAsia="zh-CN"/>
        </w:rPr>
        <w:t>15861024903</w:t>
      </w:r>
      <w:r>
        <w:rPr>
          <w:rFonts w:ascii="仿宋" w:cs="仿宋" w:eastAsia="仿宋" w:hAnsi="仿宋" w:hint="eastAsia"/>
          <w:sz w:val="24"/>
        </w:rPr>
        <w:t xml:space="preserve"> 填报日期：</w:t>
      </w:r>
      <w:r>
        <w:rPr>
          <w:rFonts w:ascii="仿宋" w:cs="仿宋" w:eastAsia="仿宋" w:hAnsi="仿宋" w:hint="eastAsia"/>
          <w:sz w:val="24"/>
          <w:lang w:val="en-US" w:eastAsia="zh-CN"/>
        </w:rPr>
        <w:t>2022</w:t>
      </w:r>
      <w:r>
        <w:rPr>
          <w:rFonts w:ascii="仿宋" w:cs="仿宋" w:eastAsia="仿宋" w:hAnsi="仿宋" w:hint="eastAsia"/>
          <w:sz w:val="24"/>
        </w:rPr>
        <w:t xml:space="preserve">年 </w:t>
      </w:r>
      <w:r>
        <w:rPr>
          <w:rFonts w:ascii="仿宋" w:cs="仿宋" w:eastAsia="仿宋" w:hAnsi="仿宋" w:hint="eastAsia"/>
          <w:sz w:val="24"/>
          <w:lang w:val="en-US" w:eastAsia="zh-CN"/>
        </w:rPr>
        <w:t>11</w:t>
      </w:r>
      <w:r>
        <w:rPr>
          <w:rFonts w:ascii="仿宋" w:cs="仿宋" w:eastAsia="仿宋" w:hAnsi="仿宋" w:hint="eastAsia"/>
          <w:sz w:val="24"/>
        </w:rPr>
        <w:t>月</w:t>
      </w:r>
      <w:r>
        <w:rPr>
          <w:rFonts w:ascii="仿宋" w:cs="仿宋" w:eastAsia="仿宋" w:hAnsi="仿宋" w:hint="eastAsia"/>
          <w:sz w:val="24"/>
          <w:lang w:val="en-US" w:eastAsia="zh-CN"/>
        </w:rPr>
        <w:t>30</w:t>
      </w:r>
      <w:r>
        <w:rPr>
          <w:rFonts w:ascii="仿宋" w:cs="仿宋" w:eastAsia="仿宋" w:hAnsi="仿宋" w:hint="eastAsia"/>
          <w:sz w:val="24"/>
        </w:rPr>
        <w:t>日</w:t>
      </w:r>
    </w:p>
    <w:bookmarkStart w:id="0" w:name="_GoBack"/>
    <w:bookmarkEnd w:id="0"/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华文仿宋"/>
    <w:panose1 w:val="020106000400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Words>2308</Words>
  <Pages>5</Pages>
  <Characters>2364</Characters>
  <Application>WPS Office</Application>
  <DocSecurity>0</DocSecurity>
  <Paragraphs>191</Paragraphs>
  <ScaleCrop>false</ScaleCrop>
  <LinksUpToDate>false</LinksUpToDate>
  <CharactersWithSpaces>4035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2022-11-24T07:16:00Z</dcterms:created>
  <dc:creator>Administrator</dc:creator>
  <lastModifiedBy>NOH-AN01</lastModifiedBy>
  <dcterms:modified xsi:type="dcterms:W3CDTF">2023-12-01T08:01:57Z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1857A147DDEF41E8B2DB70F40989F0A1</vt:lpwstr>
  </property>
</Properties>
</file>