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泰州市姜堰区娄庄中学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 </w:t>
      </w:r>
      <w:bookmarkStart w:id="0" w:name="_GoBack"/>
      <w:bookmarkEnd w:id="0"/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22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5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lang w:val="en-US" w:eastAsia="zh-CN"/>
        </w:rPr>
        <w:t>3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无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版画社团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书法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社团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书法、合唱、版画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书法、合唱、版画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2：147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5：836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 w:firstLine="0" w:firstLineChars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 w:firstLine="0" w:firstLineChars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 w:firstLine="0" w:firstLineChars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联合镇文化馆一起合演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学生个人单项、团体艺术比赛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参加区艺术展、学生个人单项、团体艺术比赛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39.5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86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58.5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2%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66.7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196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35.12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336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60.59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4.29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</w:t>
      </w:r>
      <w:r>
        <w:rPr>
          <w:rFonts w:hint="eastAsia" w:ascii="仿宋" w:hAnsi="仿宋" w:eastAsia="仿宋" w:cs="仿宋"/>
          <w:sz w:val="24"/>
          <w:lang w:val="en-US" w:eastAsia="zh-CN"/>
        </w:rPr>
        <w:t>王冬蓉</w:t>
      </w:r>
      <w:r>
        <w:rPr>
          <w:rFonts w:hint="eastAsia" w:ascii="仿宋" w:hAnsi="仿宋" w:eastAsia="仿宋" w:cs="仿宋"/>
          <w:sz w:val="24"/>
        </w:rPr>
        <w:t xml:space="preserve">  联系电话： </w:t>
      </w:r>
      <w:r>
        <w:rPr>
          <w:rFonts w:hint="eastAsia" w:ascii="仿宋" w:hAnsi="仿宋" w:eastAsia="仿宋" w:cs="仿宋"/>
          <w:sz w:val="24"/>
          <w:lang w:val="en-US" w:eastAsia="zh-CN"/>
        </w:rPr>
        <w:t>13921723698</w:t>
      </w:r>
      <w:r>
        <w:rPr>
          <w:rFonts w:hint="eastAsia" w:ascii="仿宋" w:hAnsi="仿宋" w:eastAsia="仿宋" w:cs="仿宋"/>
          <w:sz w:val="24"/>
        </w:rPr>
        <w:t xml:space="preserve">  填报日期： 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   </w:t>
      </w:r>
      <w:r>
        <w:rPr>
          <w:rFonts w:hint="eastAsia" w:ascii="仿宋" w:hAnsi="仿宋" w:eastAsia="仿宋" w:cs="仿宋"/>
          <w:sz w:val="24"/>
          <w:lang w:val="en-US" w:eastAsia="zh-CN"/>
        </w:rPr>
        <w:t>15</w:t>
      </w:r>
      <w:r>
        <w:rPr>
          <w:rFonts w:hint="eastAsia" w:ascii="仿宋" w:hAnsi="仿宋" w:eastAsia="仿宋" w:cs="仿宋"/>
          <w:sz w:val="24"/>
        </w:rPr>
        <w:t xml:space="preserve">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MGY2ZWY1Zjc3YmZiZmYyMDhhYjJjMDEwNGIzN2UifQ=="/>
  </w:docVars>
  <w:rsids>
    <w:rsidRoot w:val="46325C58"/>
    <w:rsid w:val="1F516A5B"/>
    <w:rsid w:val="267C4F33"/>
    <w:rsid w:val="31BB5184"/>
    <w:rsid w:val="38414802"/>
    <w:rsid w:val="4632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Administrator</cp:lastModifiedBy>
  <dcterms:modified xsi:type="dcterms:W3CDTF">2023-11-15T22:51:18Z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35C34A266CE644858868AFBAB95CD551_13</vt:lpwstr>
  </property>
</Properties>
</file>